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06" w:rsidRPr="00873009" w:rsidRDefault="00413F7B" w:rsidP="0078308F">
      <w:pPr>
        <w:jc w:val="center"/>
        <w:rPr>
          <w:b/>
        </w:rPr>
      </w:pPr>
      <w:bookmarkStart w:id="0" w:name="_GoBack"/>
      <w:bookmarkEnd w:id="0"/>
      <w:r w:rsidRPr="00413F7B">
        <w:rPr>
          <w:b/>
        </w:rPr>
        <w:t xml:space="preserve"> </w:t>
      </w:r>
      <w:r w:rsidR="00EA4E0A">
        <w:rPr>
          <w:b/>
        </w:rPr>
        <w:t>V</w:t>
      </w:r>
      <w:r w:rsidR="007A0675">
        <w:rPr>
          <w:b/>
        </w:rPr>
        <w:t>áltozások a közétkeztetésben</w:t>
      </w:r>
    </w:p>
    <w:p w:rsidR="00E55127" w:rsidRDefault="00E55127" w:rsidP="00E55127"/>
    <w:p w:rsidR="00E55127" w:rsidRDefault="00E55127" w:rsidP="00E55127"/>
    <w:p w:rsidR="007A0675" w:rsidRDefault="007A0675" w:rsidP="0078308F">
      <w:pPr>
        <w:jc w:val="both"/>
      </w:pPr>
      <w:r>
        <w:t>A közétkeztetés a második világháború után terjedt el</w:t>
      </w:r>
      <w:r w:rsidR="00DD192A">
        <w:t xml:space="preserve"> azért</w:t>
      </w:r>
      <w:r>
        <w:t>, hogy bizonyos társadalmi csoportok étkeztetésének feladatát az állam lá</w:t>
      </w:r>
      <w:r w:rsidR="00946BD3">
        <w:t>ssa</w:t>
      </w:r>
      <w:r>
        <w:t xml:space="preserve"> el. Hagyományosan idetartoznak az oktatási intézmények, óvodák, bölcsődék, kórházak, szanatóriumok, a honvédség és a börtönök lakóinak étkeztetése. Ma Magyarországon a közétkeztetésben résztvevők száma meghaladja az 1,1 millió</w:t>
      </w:r>
      <w:r w:rsidR="005E7177">
        <w:t>t</w:t>
      </w:r>
      <w:r>
        <w:t xml:space="preserve">. </w:t>
      </w:r>
    </w:p>
    <w:p w:rsidR="00946BD3" w:rsidRDefault="007A0675" w:rsidP="0078308F">
      <w:pPr>
        <w:jc w:val="both"/>
      </w:pPr>
      <w:r>
        <w:t>Létrejöttek a közétkeztetésnek olyan speciális, népegészségügyi szempontból különösen fontos területei, mint a gyermekétkeztetés, ami magában foglalja a bölcsődések, óvodások, általános és középiskolások, szakmunkástanulók, egyetemi és főiskolai hallgatók, a kollégiumok és gyermekotthonok lakóinak szervezett élelmezését.</w:t>
      </w:r>
      <w:r w:rsidR="00946BD3">
        <w:t xml:space="preserve"> Emellett</w:t>
      </w:r>
      <w:r>
        <w:t xml:space="preserve"> megmaradtak a közétkeztetés</w:t>
      </w:r>
      <w:r w:rsidR="00946BD3">
        <w:t>nek</w:t>
      </w:r>
      <w:r>
        <w:t xml:space="preserve"> egyéb formái</w:t>
      </w:r>
      <w:r w:rsidR="00946BD3">
        <w:t xml:space="preserve"> is, mint pl. gyógyélelmezés </w:t>
      </w:r>
      <w:r>
        <w:t>a kórházakban</w:t>
      </w:r>
      <w:r w:rsidR="00946BD3">
        <w:t>.</w:t>
      </w:r>
    </w:p>
    <w:p w:rsidR="007A0675" w:rsidRDefault="007A0675" w:rsidP="0078308F">
      <w:pPr>
        <w:jc w:val="both"/>
      </w:pPr>
      <w:r>
        <w:t xml:space="preserve">A közétkeztetésnek a népegészségügy javításában kettős szerepet kell betöltenie. Egyrészt ki kell elégítenie az általa ellátott különböző nemű, korú, fizikai igénybevételű korcsoportok élettani igényeinek megfelelő energia- és tápanyagszükségletét, másrészt kedvező irányba </w:t>
      </w:r>
      <w:r w:rsidR="00946BD3">
        <w:t xml:space="preserve">kell </w:t>
      </w:r>
      <w:r>
        <w:t>befolyásolni</w:t>
      </w:r>
      <w:r w:rsidR="00946BD3">
        <w:t>a</w:t>
      </w:r>
      <w:r>
        <w:t xml:space="preserve"> az ellátott népességcsoportok táplálkozási szokásait</w:t>
      </w:r>
      <w:r w:rsidR="00946BD3">
        <w:t>.</w:t>
      </w:r>
    </w:p>
    <w:p w:rsidR="007A0675" w:rsidRDefault="007A0675" w:rsidP="0078308F">
      <w:pPr>
        <w:jc w:val="both"/>
      </w:pPr>
    </w:p>
    <w:p w:rsidR="007A0675" w:rsidRPr="00946BD3" w:rsidRDefault="00206D12" w:rsidP="0078308F">
      <w:pPr>
        <w:jc w:val="both"/>
        <w:rPr>
          <w:b/>
        </w:rPr>
      </w:pPr>
      <w:r w:rsidRPr="00206D12">
        <w:rPr>
          <w:b/>
        </w:rPr>
        <w:t>Mi történt az óvod</w:t>
      </w:r>
      <w:r w:rsidR="00946BD3">
        <w:rPr>
          <w:b/>
        </w:rPr>
        <w:t>ai</w:t>
      </w:r>
      <w:r w:rsidRPr="00206D12">
        <w:rPr>
          <w:b/>
        </w:rPr>
        <w:t>, iskol</w:t>
      </w:r>
      <w:r w:rsidR="00946BD3">
        <w:rPr>
          <w:b/>
        </w:rPr>
        <w:t>ai közétkeztetésben</w:t>
      </w:r>
      <w:r w:rsidRPr="00206D12">
        <w:rPr>
          <w:b/>
        </w:rPr>
        <w:t>?</w:t>
      </w:r>
    </w:p>
    <w:p w:rsidR="00946BD3" w:rsidRDefault="00842DFE" w:rsidP="0078308F">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2699385" cy="1794510"/>
            <wp:effectExtent l="19050" t="0" r="5715" b="0"/>
            <wp:wrapSquare wrapText="bothSides"/>
            <wp:docPr id="1" name="Kép 0" descr="food-1155130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1155130__180.jpg"/>
                    <pic:cNvPicPr/>
                  </pic:nvPicPr>
                  <pic:blipFill>
                    <a:blip r:embed="rId6" cstate="print"/>
                    <a:stretch>
                      <a:fillRect/>
                    </a:stretch>
                  </pic:blipFill>
                  <pic:spPr>
                    <a:xfrm>
                      <a:off x="0" y="0"/>
                      <a:ext cx="2699385" cy="1794510"/>
                    </a:xfrm>
                    <a:prstGeom prst="rect">
                      <a:avLst/>
                    </a:prstGeom>
                  </pic:spPr>
                </pic:pic>
              </a:graphicData>
            </a:graphic>
          </wp:anchor>
        </w:drawing>
      </w:r>
      <w:r w:rsidR="00946BD3">
        <w:t xml:space="preserve">2008-ban </w:t>
      </w:r>
      <w:r w:rsidR="00DD192A">
        <w:t>készült egy</w:t>
      </w:r>
      <w:r w:rsidR="00946BD3">
        <w:t xml:space="preserve"> minden közoktatási intézményre </w:t>
      </w:r>
      <w:r w:rsidR="00DD192A">
        <w:t xml:space="preserve">kiterjedő </w:t>
      </w:r>
      <w:r w:rsidR="00946BD3">
        <w:t>kérdőíves felmérés</w:t>
      </w:r>
      <w:r w:rsidR="00DD192A">
        <w:t>.</w:t>
      </w:r>
      <w:r w:rsidR="00946BD3">
        <w:t xml:space="preserve"> A vizsgálat célja az volt, hogy feltérképezze az iskolák által biztosított étkezési lehetőségeket, a konyhák, az iskolabüfék és az intézmények területén található étel- és ital-automaták választékát.</w:t>
      </w:r>
      <w:r w:rsidR="00946BD3" w:rsidRPr="00946BD3">
        <w:t xml:space="preserve"> </w:t>
      </w:r>
      <w:r w:rsidR="00946BD3">
        <w:t xml:space="preserve">2009-ben </w:t>
      </w:r>
      <w:r w:rsidR="00DD192A">
        <w:t xml:space="preserve">pedig egy </w:t>
      </w:r>
      <w:r w:rsidR="00946BD3">
        <w:t>országos táplálkozás-egészségügyi vizsgálat készült az óvodákban és az iskolákban. A felmérés eredményeképp a szakemberek megállapították, hogy az esetek többségében az óvodai és iskolai közétkeztetés sem minőségében, sem mennyiségében nem felel meg az egészséges táplálkozás követelményeinek. Az akkori vizsgálat úgy találta, hogy míg az ételekben jóval több só volt a kelleténél, addig a kalciumtartalom nem érte el a korcsoport szerinti ajánlás 70 százalékát sem. További probléma volt, hogy diétás étkeztetést az esetek nagy részében a közétkeztetés nem tudta biztosítani. Ezért kidolgozták Magyarország Nemzeti Táplálkozáspolitikájának 2010-2013. évekre szóló Cselekvési Tervét, amelyben a</w:t>
      </w:r>
      <w:r w:rsidR="00FA09B8">
        <w:t xml:space="preserve"> vizsgálati eredmények ismeretében</w:t>
      </w:r>
      <w:r w:rsidR="00946BD3">
        <w:t xml:space="preserve"> javasolt</w:t>
      </w:r>
      <w:r w:rsidR="00FA09B8">
        <w:t>ak egy rendelet</w:t>
      </w:r>
      <w:r w:rsidR="005E7177">
        <w:t>i szabályozást, hogy</w:t>
      </w:r>
      <w:r w:rsidR="00946BD3">
        <w:t xml:space="preserve"> a közétkeztetés egészséges</w:t>
      </w:r>
      <w:r w:rsidR="00FA09B8">
        <w:t>ebb</w:t>
      </w:r>
      <w:r w:rsidR="005E7177">
        <w:t xml:space="preserve"> lehessen.</w:t>
      </w:r>
    </w:p>
    <w:p w:rsidR="00FA09B8" w:rsidRDefault="00FA09B8" w:rsidP="0078308F">
      <w:pPr>
        <w:jc w:val="both"/>
      </w:pPr>
      <w:r>
        <w:t xml:space="preserve">A </w:t>
      </w:r>
      <w:r w:rsidR="00DD192A">
        <w:t xml:space="preserve">2014-es miniszteri </w:t>
      </w:r>
      <w:r>
        <w:t>rendelet legfontosabb elemei:</w:t>
      </w:r>
    </w:p>
    <w:p w:rsidR="0040642F" w:rsidRDefault="00FA09B8">
      <w:pPr>
        <w:pStyle w:val="Listaszerbekezds"/>
        <w:numPr>
          <w:ilvl w:val="0"/>
          <w:numId w:val="1"/>
        </w:numPr>
        <w:jc w:val="both"/>
      </w:pPr>
      <w:r>
        <w:t>a felhasznált nyersanyagok napi tételes felsorolása</w:t>
      </w:r>
    </w:p>
    <w:p w:rsidR="0040642F" w:rsidRDefault="00FA09B8">
      <w:pPr>
        <w:pStyle w:val="Listaszerbekezds"/>
        <w:numPr>
          <w:ilvl w:val="0"/>
          <w:numId w:val="1"/>
        </w:numPr>
        <w:jc w:val="both"/>
      </w:pPr>
      <w:r>
        <w:t>megszabta a heti étlaptervezés szabályait</w:t>
      </w:r>
    </w:p>
    <w:p w:rsidR="0040642F" w:rsidRDefault="00FA09B8">
      <w:pPr>
        <w:pStyle w:val="Listaszerbekezds"/>
        <w:numPr>
          <w:ilvl w:val="0"/>
          <w:numId w:val="1"/>
        </w:numPr>
        <w:jc w:val="both"/>
      </w:pPr>
      <w:r>
        <w:t>megszabta az étlappal kapcsolatos tájékoztatási kötelezettséget</w:t>
      </w:r>
    </w:p>
    <w:p w:rsidR="0040642F" w:rsidRDefault="00FA09B8">
      <w:pPr>
        <w:pStyle w:val="Listaszerbekezds"/>
        <w:numPr>
          <w:ilvl w:val="0"/>
          <w:numId w:val="1"/>
        </w:numPr>
        <w:jc w:val="both"/>
      </w:pPr>
      <w:r>
        <w:t>korlátozta az ételekhez hozzáadott só mértékét</w:t>
      </w:r>
    </w:p>
    <w:p w:rsidR="0040642F" w:rsidRDefault="00FA09B8">
      <w:pPr>
        <w:pStyle w:val="Listaszerbekezds"/>
        <w:numPr>
          <w:ilvl w:val="0"/>
          <w:numId w:val="1"/>
        </w:numPr>
        <w:jc w:val="both"/>
      </w:pPr>
      <w:r>
        <w:t>meghatározta, hogy az étrendeket kik állíthatják össze, az ok</w:t>
      </w:r>
      <w:r w:rsidR="00EA4E0A">
        <w:t>t</w:t>
      </w:r>
      <w:r>
        <w:t>atási intézményekben az élelmezésvezetők, a kórházakban</w:t>
      </w:r>
      <w:r w:rsidR="00EA4E0A">
        <w:t xml:space="preserve"> dietetikusok</w:t>
      </w:r>
    </w:p>
    <w:p w:rsidR="0040642F" w:rsidRDefault="0040642F">
      <w:pPr>
        <w:jc w:val="both"/>
      </w:pPr>
    </w:p>
    <w:p w:rsidR="0040642F" w:rsidRDefault="00206D12">
      <w:pPr>
        <w:jc w:val="both"/>
        <w:rPr>
          <w:b/>
        </w:rPr>
      </w:pPr>
      <w:r w:rsidRPr="00206D12">
        <w:rPr>
          <w:b/>
        </w:rPr>
        <w:t>Gyermek-közétkeztetési programok</w:t>
      </w:r>
    </w:p>
    <w:p w:rsidR="004308FF" w:rsidRDefault="00EA4E0A" w:rsidP="004308FF">
      <w:pPr>
        <w:jc w:val="both"/>
      </w:pPr>
      <w:r>
        <w:t xml:space="preserve">Számos külföldi program is bizonyítja, hogy a közétkeztetés megújítása, a gyermekétkeztetés javítása nem magyarországi specialitás. Az egészséges táplálkozásra való nevelést már gyermekkorban el kell kezdeni ahhoz, hogy felnőtt korban szokássá váljon. 2007-2009 </w:t>
      </w:r>
      <w:r w:rsidR="00DD192A">
        <w:t>között</w:t>
      </w:r>
      <w:r>
        <w:t xml:space="preserve"> </w:t>
      </w:r>
      <w:r w:rsidR="00DD192A">
        <w:t>B</w:t>
      </w:r>
      <w:r>
        <w:t xml:space="preserve">ostonban </w:t>
      </w:r>
      <w:r w:rsidR="00DD192A">
        <w:t>e</w:t>
      </w:r>
      <w:r>
        <w:t xml:space="preserve">gy mesterszakács </w:t>
      </w:r>
      <w:r w:rsidR="005E7177">
        <w:t xml:space="preserve">két </w:t>
      </w:r>
      <w:r>
        <w:t>éven keresztül tanította</w:t>
      </w:r>
      <w:r w:rsidR="00DD192A">
        <w:t xml:space="preserve"> és f</w:t>
      </w:r>
      <w:r>
        <w:t>elügyelte a konyhai dolgozókat, ellenőrizte a beszerzendő alapanyagokat és az elkészítendő ételeket. A képzés eredményeként a gyerekek minőségi ételeket kaptak, vizsgaeredményeik javultak, és nem utolsó sorban megszerették és megismerték az egészséges ételeket. Egy másik programban, Quebec-ben</w:t>
      </w:r>
      <w:r w:rsidR="00DD192A">
        <w:t>,</w:t>
      </w:r>
      <w:r>
        <w:t xml:space="preserve"> a gyerekeket az iskolai menzán való étkezésre buzdítják, </w:t>
      </w:r>
      <w:r>
        <w:lastRenderedPageBreak/>
        <w:t>hogy főtt, meleg ételt egyenek. Az Egyesült Államokban általános iskolásoknak igyekeztek az egészséges ételválasztékot bemutatni. Hazánkban</w:t>
      </w:r>
      <w:r w:rsidR="00DD192A">
        <w:t xml:space="preserve">, </w:t>
      </w:r>
      <w:r>
        <w:t xml:space="preserve">a Dél-Alföldi régióban 2010-ben elindított „MINTA MENZA=MENZAMINTA” program az országban egyedülállónak számít, amely </w:t>
      </w:r>
      <w:r w:rsidR="005E7177">
        <w:t xml:space="preserve">az </w:t>
      </w:r>
      <w:r>
        <w:t>egészséges közétkeztetés kialakítását tűzte ki célul. A Minta menza programban az étlapokat a NutriComp tápanyagszámító, szakmailag elfogadott és ellenőrzött programmal tervezik meg. Az alapanyagokat helyi őstermelők, helyi beszállítók és bio termelők biztosítják. A minőségi alapanyagok elkészítésében mesterszakácsok segítenek ízletes ételeket készíteni a gyermekeknek.</w:t>
      </w:r>
      <w:r w:rsidR="005E7177">
        <w:t xml:space="preserve"> Ebbe a sorba illeszkedik a két éve Du</w:t>
      </w:r>
      <w:r w:rsidR="004308FF">
        <w:t>naharasztiban tesztjelleggel in</w:t>
      </w:r>
      <w:r w:rsidR="005E7177">
        <w:t>dított Gyere® Program is, ami nemzetközi modell alapján</w:t>
      </w:r>
      <w:r w:rsidR="004308FF">
        <w:t xml:space="preserve"> a Magyar Dietetikusok Országos Szövetségének szakmai vezetésével</w:t>
      </w:r>
      <w:r w:rsidR="005E7177">
        <w:t xml:space="preserve"> valósul meg</w:t>
      </w:r>
      <w:r w:rsidR="004308FF">
        <w:t>. A cél</w:t>
      </w:r>
      <w:r w:rsidR="005E7177">
        <w:t>,</w:t>
      </w:r>
      <w:r w:rsidR="004308FF">
        <w:t xml:space="preserve"> a gyermekelhízás elleni küzdelem a helyes és egészséges táplálkozás népszerűsítésével és ennek a gyakorlatban történő alkalmazásával. A program keretében </w:t>
      </w:r>
      <w:r w:rsidR="002F6F15">
        <w:t>a gyerekek életkorúknak megfelelő ismeretterjesztő foglalkozásokon vehetnek részt. Az elmúlt k</w:t>
      </w:r>
      <w:r w:rsidR="004308FF">
        <w:t>ét év alatt sok hasznos dolgot tanulhattak meg a</w:t>
      </w:r>
      <w:r w:rsidR="002F6F15">
        <w:t xml:space="preserve"> </w:t>
      </w:r>
      <w:r w:rsidR="004308FF">
        <w:t xml:space="preserve">tejről, tejtermékekről, a tojásról, a </w:t>
      </w:r>
      <w:r w:rsidR="00842DFE">
        <w:rPr>
          <w:noProof/>
        </w:rPr>
        <w:drawing>
          <wp:anchor distT="0" distB="0" distL="114300" distR="114300" simplePos="0" relativeHeight="251660288" behindDoc="0" locked="0" layoutInCell="1" allowOverlap="1">
            <wp:simplePos x="0" y="0"/>
            <wp:positionH relativeFrom="margin">
              <wp:posOffset>3175</wp:posOffset>
            </wp:positionH>
            <wp:positionV relativeFrom="margin">
              <wp:posOffset>3207385</wp:posOffset>
            </wp:positionV>
            <wp:extent cx="2228850" cy="1600200"/>
            <wp:effectExtent l="19050" t="0" r="0" b="0"/>
            <wp:wrapSquare wrapText="bothSides"/>
            <wp:docPr id="4" name="Kép 2" descr="eat-958884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958884__180.jpg"/>
                    <pic:cNvPicPr/>
                  </pic:nvPicPr>
                  <pic:blipFill>
                    <a:blip r:embed="rId7" cstate="print"/>
                    <a:stretch>
                      <a:fillRect/>
                    </a:stretch>
                  </pic:blipFill>
                  <pic:spPr>
                    <a:xfrm>
                      <a:off x="0" y="0"/>
                      <a:ext cx="2228850" cy="1600200"/>
                    </a:xfrm>
                    <a:prstGeom prst="rect">
                      <a:avLst/>
                    </a:prstGeom>
                  </pic:spPr>
                </pic:pic>
              </a:graphicData>
            </a:graphic>
          </wp:anchor>
        </w:drawing>
      </w:r>
      <w:r w:rsidR="004308FF">
        <w:t>zöldségekről és gyümölcsökről</w:t>
      </w:r>
      <w:r w:rsidR="007530A9">
        <w:t>, a folyadékfogyasztásról</w:t>
      </w:r>
      <w:r w:rsidR="004308FF">
        <w:t xml:space="preserve"> és a gabonafélékről</w:t>
      </w:r>
      <w:r w:rsidR="007530A9">
        <w:t>, valamint a hús és húskészítményekről</w:t>
      </w:r>
      <w:r w:rsidR="004308FF">
        <w:t xml:space="preserve">. </w:t>
      </w:r>
      <w:r w:rsidR="002F6F15">
        <w:t>A program az új tanévben tovább folytatódik, ő</w:t>
      </w:r>
      <w:r w:rsidR="004308FF">
        <w:t xml:space="preserve">sszel a legkedveltebb, ugyanakkor </w:t>
      </w:r>
      <w:r w:rsidR="005C6E51">
        <w:t xml:space="preserve">talán </w:t>
      </w:r>
      <w:r w:rsidR="004308FF">
        <w:t xml:space="preserve">a legvitatottabb téma kerül terítékre, a desszertek és az édességek. Persze itt sem a tiltás a lényeg, hanem az ismeretek elmélyítése, amelyek alapján lehet majd okosan </w:t>
      </w:r>
      <w:r w:rsidR="005C6E51">
        <w:t xml:space="preserve">és mértékletesen </w:t>
      </w:r>
      <w:r w:rsidR="004308FF">
        <w:t>választani</w:t>
      </w:r>
      <w:r w:rsidR="005C6E51">
        <w:t>.</w:t>
      </w:r>
      <w:r w:rsidR="004308FF">
        <w:t xml:space="preserve"> </w:t>
      </w:r>
    </w:p>
    <w:p w:rsidR="004308FF" w:rsidRDefault="00842DFE" w:rsidP="004308FF">
      <w:pPr>
        <w:jc w:val="both"/>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1043305</wp:posOffset>
            </wp:positionV>
            <wp:extent cx="2667635" cy="1798320"/>
            <wp:effectExtent l="19050" t="0" r="0" b="0"/>
            <wp:wrapSquare wrapText="bothSides"/>
            <wp:docPr id="2" name="Kép 1" descr="dining-tables-461863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ing-tables-461863__180.jpg"/>
                    <pic:cNvPicPr/>
                  </pic:nvPicPr>
                  <pic:blipFill>
                    <a:blip r:embed="rId8" cstate="print"/>
                    <a:stretch>
                      <a:fillRect/>
                    </a:stretch>
                  </pic:blipFill>
                  <pic:spPr>
                    <a:xfrm>
                      <a:off x="0" y="0"/>
                      <a:ext cx="2667635" cy="1798320"/>
                    </a:xfrm>
                    <a:prstGeom prst="rect">
                      <a:avLst/>
                    </a:prstGeom>
                  </pic:spPr>
                </pic:pic>
              </a:graphicData>
            </a:graphic>
          </wp:anchor>
        </w:drawing>
      </w:r>
      <w:r w:rsidR="004308FF">
        <w:t xml:space="preserve">A </w:t>
      </w:r>
      <w:r w:rsidR="007530A9">
        <w:t xml:space="preserve">három éves </w:t>
      </w:r>
      <w:r w:rsidR="004308FF">
        <w:t>projekt ideje alatt dietetikusok</w:t>
      </w:r>
      <w:r w:rsidR="005D19D2">
        <w:t xml:space="preserve"> közreműködésével</w:t>
      </w:r>
      <w:r w:rsidR="004308FF">
        <w:t xml:space="preserve"> összeállított ún. GYERE menük is szerepelnek az iskolai és óvodai közétkeztetésben, így a gyerekek saját maguk is megtapasztalhatják, hogy lehet egyszerre egészségesen táplálkozni és finomat enni, </w:t>
      </w:r>
      <w:r w:rsidR="002F6F15">
        <w:t>érdemes kipróbálni az új ízeket is, mert</w:t>
      </w:r>
      <w:r w:rsidR="004308FF">
        <w:t xml:space="preserve"> a változatosságnak is nagy szerepe van az egészséges táplálkozásban és </w:t>
      </w:r>
      <w:r w:rsidR="005C6E51">
        <w:t xml:space="preserve">a </w:t>
      </w:r>
      <w:r w:rsidR="004308FF">
        <w:t>megfelelő</w:t>
      </w:r>
      <w:r w:rsidR="005C6E51">
        <w:t xml:space="preserve"> napi</w:t>
      </w:r>
      <w:r w:rsidR="004308FF">
        <w:t xml:space="preserve"> folyadékbevitelben.</w:t>
      </w:r>
    </w:p>
    <w:p w:rsidR="0040642F" w:rsidRDefault="0040642F">
      <w:pPr>
        <w:jc w:val="both"/>
      </w:pPr>
    </w:p>
    <w:p w:rsidR="00946BD3" w:rsidRDefault="00946BD3" w:rsidP="0078308F">
      <w:pPr>
        <w:jc w:val="both"/>
      </w:pPr>
    </w:p>
    <w:p w:rsidR="00946BD3" w:rsidRDefault="00946BD3" w:rsidP="0078308F">
      <w:pPr>
        <w:jc w:val="both"/>
      </w:pPr>
    </w:p>
    <w:p w:rsidR="00946BD3" w:rsidRDefault="00946BD3" w:rsidP="0078308F">
      <w:pPr>
        <w:jc w:val="both"/>
      </w:pPr>
    </w:p>
    <w:p w:rsidR="00946BD3" w:rsidRDefault="00946BD3" w:rsidP="0078308F">
      <w:pPr>
        <w:jc w:val="both"/>
      </w:pPr>
    </w:p>
    <w:p w:rsidR="00946BD3" w:rsidRDefault="00946BD3" w:rsidP="0078308F">
      <w:pPr>
        <w:jc w:val="both"/>
      </w:pPr>
    </w:p>
    <w:p w:rsidR="00946BD3" w:rsidRDefault="00946BD3" w:rsidP="0078308F">
      <w:pPr>
        <w:jc w:val="both"/>
      </w:pPr>
    </w:p>
    <w:p w:rsidR="00060D4C" w:rsidRDefault="00060D4C">
      <w:pPr>
        <w:jc w:val="both"/>
      </w:pPr>
    </w:p>
    <w:sectPr w:rsidR="00060D4C" w:rsidSect="008F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CB1"/>
    <w:multiLevelType w:val="hybridMultilevel"/>
    <w:tmpl w:val="4BAC66E8"/>
    <w:lvl w:ilvl="0" w:tplc="58E48052">
      <w:start w:val="200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F0"/>
    <w:rsid w:val="00015BC0"/>
    <w:rsid w:val="00060D4C"/>
    <w:rsid w:val="00071592"/>
    <w:rsid w:val="00093233"/>
    <w:rsid w:val="000C0F77"/>
    <w:rsid w:val="0013560E"/>
    <w:rsid w:val="00164F19"/>
    <w:rsid w:val="001C6E02"/>
    <w:rsid w:val="00206D12"/>
    <w:rsid w:val="00213CC1"/>
    <w:rsid w:val="002436D8"/>
    <w:rsid w:val="00265F58"/>
    <w:rsid w:val="00283E84"/>
    <w:rsid w:val="002C6ACF"/>
    <w:rsid w:val="002F6F15"/>
    <w:rsid w:val="00314026"/>
    <w:rsid w:val="0033452A"/>
    <w:rsid w:val="0036223E"/>
    <w:rsid w:val="00376C0B"/>
    <w:rsid w:val="003A2452"/>
    <w:rsid w:val="003C20DA"/>
    <w:rsid w:val="003C3C75"/>
    <w:rsid w:val="003D6128"/>
    <w:rsid w:val="0040642F"/>
    <w:rsid w:val="00413F7B"/>
    <w:rsid w:val="004308FF"/>
    <w:rsid w:val="00463AF2"/>
    <w:rsid w:val="00476122"/>
    <w:rsid w:val="004C1DD6"/>
    <w:rsid w:val="005553CC"/>
    <w:rsid w:val="00575241"/>
    <w:rsid w:val="00586BEA"/>
    <w:rsid w:val="005A5BAC"/>
    <w:rsid w:val="005B37EA"/>
    <w:rsid w:val="005B40D0"/>
    <w:rsid w:val="005C6E51"/>
    <w:rsid w:val="005C7178"/>
    <w:rsid w:val="005D19D2"/>
    <w:rsid w:val="005E7177"/>
    <w:rsid w:val="005F71F7"/>
    <w:rsid w:val="00643A4B"/>
    <w:rsid w:val="006519B0"/>
    <w:rsid w:val="006B7599"/>
    <w:rsid w:val="00707E29"/>
    <w:rsid w:val="007530A9"/>
    <w:rsid w:val="0078308F"/>
    <w:rsid w:val="00794CF0"/>
    <w:rsid w:val="007A0675"/>
    <w:rsid w:val="007A27BD"/>
    <w:rsid w:val="00801BBA"/>
    <w:rsid w:val="00842DFE"/>
    <w:rsid w:val="00873009"/>
    <w:rsid w:val="008C411C"/>
    <w:rsid w:val="008F0F06"/>
    <w:rsid w:val="00927B81"/>
    <w:rsid w:val="00946BD3"/>
    <w:rsid w:val="00956B62"/>
    <w:rsid w:val="00993A45"/>
    <w:rsid w:val="009A46A8"/>
    <w:rsid w:val="009D7C99"/>
    <w:rsid w:val="009E27E3"/>
    <w:rsid w:val="009F09B4"/>
    <w:rsid w:val="00A235E1"/>
    <w:rsid w:val="00A32EF9"/>
    <w:rsid w:val="00A42DF0"/>
    <w:rsid w:val="00AA1EF0"/>
    <w:rsid w:val="00AC5714"/>
    <w:rsid w:val="00B06CAA"/>
    <w:rsid w:val="00B214DA"/>
    <w:rsid w:val="00B34A58"/>
    <w:rsid w:val="00B352DF"/>
    <w:rsid w:val="00B95401"/>
    <w:rsid w:val="00C66CE3"/>
    <w:rsid w:val="00C82DA3"/>
    <w:rsid w:val="00CD2AE2"/>
    <w:rsid w:val="00CF3FE7"/>
    <w:rsid w:val="00D47B49"/>
    <w:rsid w:val="00D57862"/>
    <w:rsid w:val="00D80517"/>
    <w:rsid w:val="00DD192A"/>
    <w:rsid w:val="00E028FD"/>
    <w:rsid w:val="00E05494"/>
    <w:rsid w:val="00E55127"/>
    <w:rsid w:val="00E710F8"/>
    <w:rsid w:val="00E91B18"/>
    <w:rsid w:val="00EA457A"/>
    <w:rsid w:val="00EA4E0A"/>
    <w:rsid w:val="00EB6A5D"/>
    <w:rsid w:val="00F06D1E"/>
    <w:rsid w:val="00F23F50"/>
    <w:rsid w:val="00F248A6"/>
    <w:rsid w:val="00F32EF5"/>
    <w:rsid w:val="00F73227"/>
    <w:rsid w:val="00FA09B8"/>
    <w:rsid w:val="00FA65F1"/>
    <w:rsid w:val="00FD00A7"/>
    <w:rsid w:val="00FF54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C1A1E-579C-4EB7-8701-897D88BA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A1EF0"/>
    <w:pPr>
      <w:spacing w:after="0" w:line="240" w:lineRule="auto"/>
    </w:pPr>
    <w:rPr>
      <w:rFonts w:ascii="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EB6A5D"/>
  </w:style>
  <w:style w:type="paragraph" w:customStyle="1" w:styleId="Default">
    <w:name w:val="Default"/>
    <w:rsid w:val="00EB6A5D"/>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5B40D0"/>
    <w:rPr>
      <w:rFonts w:ascii="Tahoma" w:hAnsi="Tahoma" w:cs="Tahoma"/>
      <w:sz w:val="16"/>
      <w:szCs w:val="16"/>
    </w:rPr>
  </w:style>
  <w:style w:type="character" w:customStyle="1" w:styleId="BuborkszvegChar">
    <w:name w:val="Buborékszöveg Char"/>
    <w:basedOn w:val="Bekezdsalapbettpusa"/>
    <w:link w:val="Buborkszveg"/>
    <w:uiPriority w:val="99"/>
    <w:semiHidden/>
    <w:rsid w:val="005B40D0"/>
    <w:rPr>
      <w:rFonts w:ascii="Tahoma" w:hAnsi="Tahoma" w:cs="Tahoma"/>
      <w:sz w:val="16"/>
      <w:szCs w:val="16"/>
      <w:lang w:eastAsia="hu-HU"/>
    </w:rPr>
  </w:style>
  <w:style w:type="character" w:styleId="Jegyzethivatkozs">
    <w:name w:val="annotation reference"/>
    <w:basedOn w:val="Bekezdsalapbettpusa"/>
    <w:uiPriority w:val="99"/>
    <w:semiHidden/>
    <w:unhideWhenUsed/>
    <w:rsid w:val="004C1DD6"/>
    <w:rPr>
      <w:sz w:val="16"/>
      <w:szCs w:val="16"/>
    </w:rPr>
  </w:style>
  <w:style w:type="paragraph" w:styleId="Jegyzetszveg">
    <w:name w:val="annotation text"/>
    <w:basedOn w:val="Norml"/>
    <w:link w:val="JegyzetszvegChar"/>
    <w:uiPriority w:val="99"/>
    <w:semiHidden/>
    <w:unhideWhenUsed/>
    <w:rsid w:val="004C1DD6"/>
    <w:rPr>
      <w:sz w:val="20"/>
      <w:szCs w:val="20"/>
    </w:rPr>
  </w:style>
  <w:style w:type="character" w:customStyle="1" w:styleId="JegyzetszvegChar">
    <w:name w:val="Jegyzetszöveg Char"/>
    <w:basedOn w:val="Bekezdsalapbettpusa"/>
    <w:link w:val="Jegyzetszveg"/>
    <w:uiPriority w:val="99"/>
    <w:semiHidden/>
    <w:rsid w:val="004C1DD6"/>
    <w:rPr>
      <w:rFonts w:ascii="Calibri" w:hAnsi="Calibri" w:cs="Calibri"/>
      <w:sz w:val="20"/>
      <w:szCs w:val="20"/>
      <w:lang w:eastAsia="hu-HU"/>
    </w:rPr>
  </w:style>
  <w:style w:type="paragraph" w:styleId="Megjegyzstrgya">
    <w:name w:val="annotation subject"/>
    <w:basedOn w:val="Jegyzetszveg"/>
    <w:next w:val="Jegyzetszveg"/>
    <w:link w:val="MegjegyzstrgyaChar"/>
    <w:uiPriority w:val="99"/>
    <w:semiHidden/>
    <w:unhideWhenUsed/>
    <w:rsid w:val="004C1DD6"/>
    <w:rPr>
      <w:b/>
      <w:bCs/>
    </w:rPr>
  </w:style>
  <w:style w:type="character" w:customStyle="1" w:styleId="MegjegyzstrgyaChar">
    <w:name w:val="Megjegyzés tárgya Char"/>
    <w:basedOn w:val="JegyzetszvegChar"/>
    <w:link w:val="Megjegyzstrgya"/>
    <w:uiPriority w:val="99"/>
    <w:semiHidden/>
    <w:rsid w:val="004C1DD6"/>
    <w:rPr>
      <w:rFonts w:ascii="Calibri" w:hAnsi="Calibri" w:cs="Calibri"/>
      <w:b/>
      <w:bCs/>
      <w:sz w:val="20"/>
      <w:szCs w:val="20"/>
      <w:lang w:eastAsia="hu-HU"/>
    </w:rPr>
  </w:style>
  <w:style w:type="paragraph" w:styleId="Vltozat">
    <w:name w:val="Revision"/>
    <w:hidden/>
    <w:uiPriority w:val="99"/>
    <w:semiHidden/>
    <w:rsid w:val="004C1DD6"/>
    <w:pPr>
      <w:spacing w:after="0" w:line="240" w:lineRule="auto"/>
    </w:pPr>
    <w:rPr>
      <w:rFonts w:ascii="Calibri" w:hAnsi="Calibri" w:cs="Calibri"/>
      <w:lang w:eastAsia="hu-HU"/>
    </w:rPr>
  </w:style>
  <w:style w:type="paragraph" w:styleId="Listaszerbekezds">
    <w:name w:val="List Paragraph"/>
    <w:basedOn w:val="Norml"/>
    <w:uiPriority w:val="34"/>
    <w:qFormat/>
    <w:rsid w:val="00FA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6630">
      <w:bodyDiv w:val="1"/>
      <w:marLeft w:val="0"/>
      <w:marRight w:val="0"/>
      <w:marTop w:val="0"/>
      <w:marBottom w:val="0"/>
      <w:divBdr>
        <w:top w:val="none" w:sz="0" w:space="0" w:color="auto"/>
        <w:left w:val="none" w:sz="0" w:space="0" w:color="auto"/>
        <w:bottom w:val="none" w:sz="0" w:space="0" w:color="auto"/>
        <w:right w:val="none" w:sz="0" w:space="0" w:color="auto"/>
      </w:divBdr>
    </w:div>
    <w:div w:id="17451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9E82C-5C9C-49BB-A6A1-72179DC8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4742</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d.vorigin</dc:creator>
  <cp:lastModifiedBy>user</cp:lastModifiedBy>
  <cp:revision>3</cp:revision>
  <dcterms:created xsi:type="dcterms:W3CDTF">2016-12-13T20:12:00Z</dcterms:created>
  <dcterms:modified xsi:type="dcterms:W3CDTF">2016-12-13T20:13:00Z</dcterms:modified>
</cp:coreProperties>
</file>